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Hoshin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corporativo</w:t>
      </w: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2160"/>
        <w:gridCol w:w="1215"/>
        <w:gridCol w:w="3195"/>
        <w:gridCol w:w="2685"/>
        <w:gridCol w:w="1710"/>
        <w:gridCol w:w="1710"/>
        <w:tblGridChange w:id="0">
          <w:tblGrid>
            <w:gridCol w:w="1950"/>
            <w:gridCol w:w="2160"/>
            <w:gridCol w:w="1215"/>
            <w:gridCol w:w="3195"/>
            <w:gridCol w:w="2685"/>
            <w:gridCol w:w="1710"/>
            <w:gridCol w:w="1710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Visão para três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Objetivo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(o que e por quê)</w:t>
            </w:r>
          </w:p>
        </w:tc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Liderança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geral</w:t>
            </w:r>
          </w:p>
        </w:tc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Atividades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como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Metas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métricas, até quando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Liderança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quem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Apoio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quem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Áreas de Foco: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Métricas p/ 3 anos: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C54A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C54A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C54A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C54A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C54A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C54A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C54A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C54A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C54A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C54A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C54A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C54A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C54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C54A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C54A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C54A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C54A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C54A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C54A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54A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C54A9"/>
    <w:rPr>
      <w:b w:val="1"/>
      <w:bCs w:val="1"/>
      <w:smallCaps w:val="1"/>
      <w:color w:val="0f4761" w:themeColor="accent1" w:themeShade="0000BF"/>
      <w:spacing w:val="5"/>
    </w:rPr>
  </w:style>
  <w:style w:type="character" w:styleId="apple-converted-space" w:customStyle="1">
    <w:name w:val="apple-converted-space"/>
    <w:basedOn w:val="DefaultParagraphFont"/>
    <w:rsid w:val="00B5465A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wSU8nuQq5n6hX1/ag9kybowyQ==">CgMxLjA4AHIhMXZuazQzeEdXUTJXMDdJREtVZ1ZsVWpidzJNa3VtanMt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2025-02-03T18:56:00Z</dcterms:created>
</cp:coreProperties>
</file>